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10D00" w:rsidP="00C10D00" w:rsidRDefault="00C10D00" w14:paraId="672A6659" wp14:textId="77777777">
      <w:pPr>
        <w:tabs>
          <w:tab w:val="left" w:pos="-90"/>
        </w:tabs>
        <w:ind w:left="-90"/>
        <w:rPr>
          <w:b/>
          <w:color w:val="4376BB"/>
          <w:sz w:val="28"/>
          <w:szCs w:val="28"/>
        </w:rPr>
      </w:pPr>
    </w:p>
    <w:p xmlns:wp14="http://schemas.microsoft.com/office/word/2010/wordml" w:rsidR="00C10D00" w:rsidP="00C10D00" w:rsidRDefault="00C10D00" w14:paraId="0A37501D" wp14:textId="77777777">
      <w:pPr>
        <w:tabs>
          <w:tab w:val="left" w:pos="-180"/>
        </w:tabs>
        <w:rPr>
          <w:b/>
          <w:color w:val="4376BB"/>
          <w:sz w:val="28"/>
          <w:szCs w:val="28"/>
        </w:rPr>
      </w:pPr>
    </w:p>
    <w:p xmlns:wp14="http://schemas.microsoft.com/office/word/2010/wordml" w:rsidR="00F31A02" w:rsidP="00C10D00" w:rsidRDefault="00C50FE4" w14:paraId="17EE13A8" wp14:textId="77777777">
      <w:pPr>
        <w:tabs>
          <w:tab w:val="left" w:pos="-180"/>
        </w:tabs>
        <w:ind w:left="-180"/>
        <w:rPr>
          <w:b/>
          <w:color w:val="4376BB"/>
          <w:sz w:val="28"/>
          <w:szCs w:val="28"/>
        </w:rPr>
      </w:pPr>
      <w:r>
        <w:rPr>
          <w:b/>
          <w:color w:val="4376BB"/>
          <w:sz w:val="28"/>
          <w:szCs w:val="28"/>
        </w:rPr>
        <w:t>Gun Violence: An Urgent Public Health Issue</w:t>
      </w:r>
    </w:p>
    <w:p xmlns:wp14="http://schemas.microsoft.com/office/word/2010/wordml" w:rsidR="00F31A02" w:rsidRDefault="00C50FE4" w14:paraId="3AA313A2" wp14:textId="77777777">
      <w:pPr>
        <w:ind w:left="-187"/>
        <w:rPr>
          <w:color w:val="000000"/>
        </w:rPr>
      </w:pPr>
      <w:bookmarkStart w:name="_heading=h.gjdgxs" w:colFirst="0" w:colLast="0" w:id="0"/>
      <w:bookmarkEnd w:id="0"/>
      <w:r>
        <w:rPr>
          <w:color w:val="000000"/>
        </w:rPr>
        <w:t xml:space="preserve">Gun violence </w:t>
      </w:r>
      <w:r>
        <w:t>impacts all people, either directly or indirectly, and specific groups are at greater risk.</w:t>
      </w:r>
      <w:r>
        <w:rPr>
          <w:color w:val="000000"/>
        </w:rPr>
        <w:t xml:space="preserve"> In Massachusetts, firea</w:t>
      </w:r>
      <w:r w:rsidR="006438DE">
        <w:rPr>
          <w:color w:val="000000"/>
        </w:rPr>
        <w:t>rms are the cause of death in 77</w:t>
      </w:r>
      <w:r>
        <w:rPr>
          <w:color w:val="000000"/>
        </w:rPr>
        <w:t>% of youth homicides.</w:t>
      </w:r>
      <w:r>
        <w:rPr>
          <w:color w:val="000000"/>
          <w:vertAlign w:val="superscript"/>
        </w:rPr>
        <w:footnoteReference w:id="1"/>
      </w:r>
      <w:r>
        <w:rPr>
          <w:color w:val="000000"/>
        </w:rPr>
        <w:t xml:space="preserve"> Thirty-nine percent of all firearm homicide victims are between 15 and 24 years old.</w:t>
      </w:r>
      <w:r>
        <w:rPr>
          <w:color w:val="000000"/>
          <w:vertAlign w:val="superscript"/>
        </w:rPr>
        <w:t xml:space="preserve"> </w:t>
      </w:r>
      <w:r>
        <w:rPr>
          <w:color w:val="000000"/>
          <w:vertAlign w:val="superscript"/>
        </w:rPr>
        <w:footnoteReference w:id="2"/>
      </w:r>
      <w:r>
        <w:rPr>
          <w:color w:val="000000"/>
        </w:rPr>
        <w:t xml:space="preserve"> Young people of color are particularly likely to be victims of gun violence. Black male youth are 32 times more likely to be hospitalized due to firearm assault than their white male peers.</w:t>
      </w:r>
      <w:r>
        <w:rPr>
          <w:color w:val="000000"/>
          <w:vertAlign w:val="superscript"/>
        </w:rPr>
        <w:footnoteReference w:id="3"/>
      </w:r>
      <w:r>
        <w:rPr>
          <w:color w:val="000000"/>
        </w:rPr>
        <w:t xml:space="preserve"> </w:t>
      </w:r>
    </w:p>
    <w:p xmlns:wp14="http://schemas.microsoft.com/office/word/2010/wordml" w:rsidR="00F31A02" w:rsidRDefault="00F31A02" w14:paraId="5DAB6C7B" wp14:textId="77777777">
      <w:pPr>
        <w:ind w:left="-187"/>
        <w:rPr>
          <w:color w:val="000000"/>
        </w:rPr>
      </w:pPr>
    </w:p>
    <w:p xmlns:wp14="http://schemas.microsoft.com/office/word/2010/wordml" w:rsidR="00F31A02" w:rsidRDefault="00C50FE4" w14:paraId="62B8AD72" wp14:textId="77777777">
      <w:pPr>
        <w:ind w:left="-187"/>
        <w:rPr>
          <w:color w:val="000000"/>
        </w:rPr>
      </w:pPr>
      <w:r>
        <w:rPr>
          <w:highlight w:val="white"/>
        </w:rPr>
        <w:t>The communities most affected by gun violence also have long histories of deep social and economic inequity. Discriminatory lending practices, poor access to social services and medical care, and lack of business investment mean that people in these communities have been denied fundamental economic, educational, and employment opportunities for generations.</w:t>
      </w:r>
      <w:r>
        <w:rPr>
          <w:color w:val="000000"/>
        </w:rPr>
        <w:t xml:space="preserve"> The Boston Globe 2017 Spotlight series on racism highlighted racial disparities in access to Boston’s world-renowned </w:t>
      </w:r>
      <w:r>
        <w:t>hospitals</w:t>
      </w:r>
      <w:r>
        <w:rPr>
          <w:color w:val="000000"/>
        </w:rPr>
        <w:t xml:space="preserve"> and institutions of higher education.</w:t>
      </w:r>
      <w:r>
        <w:rPr>
          <w:color w:val="000000"/>
          <w:vertAlign w:val="superscript"/>
        </w:rPr>
        <w:footnoteReference w:id="4"/>
      </w:r>
      <w:r>
        <w:rPr>
          <w:color w:val="000000"/>
        </w:rPr>
        <w:t xml:space="preserve"> In 2019, WBUR explored how discriminatory </w:t>
      </w:r>
      <w:hyperlink r:id="rId8">
        <w:r>
          <w:rPr>
            <w:color w:val="0563C1"/>
            <w:u w:val="single"/>
          </w:rPr>
          <w:t>mortgage lending practices</w:t>
        </w:r>
      </w:hyperlink>
      <w:r>
        <w:rPr>
          <w:color w:val="000000"/>
        </w:rPr>
        <w:t xml:space="preserve"> contributes to the ongoing marginalization of communities.</w:t>
      </w:r>
      <w:r>
        <w:rPr>
          <w:color w:val="000000"/>
          <w:vertAlign w:val="superscript"/>
        </w:rPr>
        <w:footnoteReference w:id="5"/>
      </w:r>
    </w:p>
    <w:p xmlns:wp14="http://schemas.microsoft.com/office/word/2010/wordml" w:rsidR="00F31A02" w:rsidRDefault="00F31A02" w14:paraId="02EB378F" wp14:textId="77777777">
      <w:pPr>
        <w:ind w:left="-187"/>
        <w:rPr>
          <w:color w:val="000000"/>
        </w:rPr>
      </w:pPr>
    </w:p>
    <w:p xmlns:wp14="http://schemas.microsoft.com/office/word/2010/wordml" w:rsidR="00F31A02" w:rsidRDefault="00C50FE4" w14:paraId="64636A6C" wp14:textId="77777777">
      <w:pPr>
        <w:ind w:left="-187"/>
        <w:rPr>
          <w:color w:val="000000"/>
        </w:rPr>
      </w:pPr>
      <w:r>
        <w:rPr>
          <w:color w:val="000000"/>
        </w:rPr>
        <w:t xml:space="preserve">Research shows that the stress of growing up in traumatized communities can impact learning, behavior, mental health and chronic disease, </w:t>
      </w:r>
      <w:r w:rsidR="002A455E">
        <w:rPr>
          <w:color w:val="000000"/>
        </w:rPr>
        <w:t>but youth</w:t>
      </w:r>
      <w:r>
        <w:rPr>
          <w:color w:val="000000"/>
        </w:rPr>
        <w:t xml:space="preserve"> who have opportunities to work toward a better future </w:t>
      </w:r>
      <w:r w:rsidR="002A455E">
        <w:rPr>
          <w:color w:val="000000"/>
        </w:rPr>
        <w:t xml:space="preserve">can </w:t>
      </w:r>
      <w:r>
        <w:rPr>
          <w:color w:val="000000"/>
        </w:rPr>
        <w:t xml:space="preserve">go on to lead healthy and productive lives. We also know that </w:t>
      </w:r>
      <w:r>
        <w:rPr>
          <w:i/>
          <w:color w:val="000000"/>
        </w:rPr>
        <w:t>gun violence is preventable</w:t>
      </w:r>
      <w:r>
        <w:rPr>
          <w:color w:val="000000"/>
        </w:rPr>
        <w:t xml:space="preserve">, and violence-free communities promote well-being for people of all ages. </w:t>
      </w:r>
    </w:p>
    <w:p xmlns:wp14="http://schemas.microsoft.com/office/word/2010/wordml" w:rsidR="00F31A02" w:rsidRDefault="00F31A02" w14:paraId="6A05A809" wp14:textId="77777777">
      <w:pPr>
        <w:ind w:left="-187"/>
        <w:rPr>
          <w:color w:val="000000"/>
        </w:rPr>
      </w:pPr>
    </w:p>
    <w:p xmlns:wp14="http://schemas.microsoft.com/office/word/2010/wordml" w:rsidR="00F31A02" w:rsidRDefault="00C50FE4" w14:paraId="3603873E" wp14:textId="77777777">
      <w:pPr>
        <w:ind w:left="-180"/>
        <w:rPr>
          <w:color w:val="000000"/>
          <w:sz w:val="22"/>
          <w:szCs w:val="22"/>
        </w:rPr>
      </w:pPr>
      <w:r>
        <w:rPr>
          <w:color w:val="000000"/>
        </w:rPr>
        <w:t xml:space="preserve">The Massachusetts Gun Violence Prevention Program engages </w:t>
      </w:r>
      <w:r w:rsidR="002A455E">
        <w:rPr>
          <w:color w:val="000000"/>
        </w:rPr>
        <w:t>youth and</w:t>
      </w:r>
      <w:r>
        <w:rPr>
          <w:color w:val="000000"/>
        </w:rPr>
        <w:t xml:space="preserve"> community members to develop solutions to address the causes of youth violence. </w:t>
      </w:r>
    </w:p>
    <w:p xmlns:wp14="http://schemas.microsoft.com/office/word/2010/wordml" w:rsidR="00F31A02" w:rsidRDefault="00F31A02" w14:paraId="5A39BBE3" wp14:textId="77777777">
      <w:pPr>
        <w:ind w:left="-187"/>
        <w:rPr>
          <w:color w:val="000000"/>
        </w:rPr>
      </w:pPr>
    </w:p>
    <w:p xmlns:wp14="http://schemas.microsoft.com/office/word/2010/wordml" w:rsidR="00F31A02" w:rsidRDefault="00C50FE4" w14:paraId="4D43E867" wp14:textId="77777777">
      <w:pPr>
        <w:ind w:left="-187"/>
        <w:rPr>
          <w:b/>
          <w:color w:val="4376BB"/>
          <w:sz w:val="28"/>
          <w:szCs w:val="28"/>
        </w:rPr>
      </w:pPr>
      <w:r>
        <w:rPr>
          <w:b/>
          <w:color w:val="4376BB"/>
          <w:sz w:val="28"/>
          <w:szCs w:val="28"/>
        </w:rPr>
        <w:t xml:space="preserve">The Massachusetts Gun Violence Prevention Program </w:t>
      </w:r>
    </w:p>
    <w:p xmlns:wp14="http://schemas.microsoft.com/office/word/2010/wordml" w:rsidR="00F31A02" w:rsidRDefault="00C50FE4" w14:paraId="099A3106" wp14:textId="4B71CE6D">
      <w:pPr>
        <w:ind w:left="-180"/>
        <w:rPr>
          <w:color w:val="000000"/>
        </w:rPr>
      </w:pPr>
      <w:r w:rsidR="00C50FE4">
        <w:rPr/>
        <w:t>The Massachusetts Gun Violence Prevention Program works with gra</w:t>
      </w:r>
      <w:r w:rsidRPr="1113325D" w:rsidR="00C50FE4">
        <w:rPr>
          <w:color w:val="000000" w:themeColor="text1" w:themeTint="FF" w:themeShade="FF"/>
        </w:rPr>
        <w:t>ntees in 1</w:t>
      </w:r>
      <w:r w:rsidRPr="1113325D" w:rsidR="7061E703">
        <w:rPr>
          <w:color w:val="000000" w:themeColor="text1" w:themeTint="FF" w:themeShade="FF"/>
        </w:rPr>
        <w:t>5</w:t>
      </w:r>
      <w:r w:rsidRPr="1113325D" w:rsidR="00C50FE4">
        <w:rPr>
          <w:color w:val="000000" w:themeColor="text1" w:themeTint="FF" w:themeShade="FF"/>
        </w:rPr>
        <w:t xml:space="preserve"> communities across the Commonwealth to help </w:t>
      </w:r>
      <w:r w:rsidRPr="1113325D" w:rsidR="002A455E">
        <w:rPr>
          <w:color w:val="000000" w:themeColor="text1" w:themeTint="FF" w:themeShade="FF"/>
        </w:rPr>
        <w:t>youth</w:t>
      </w:r>
      <w:r w:rsidRPr="1113325D" w:rsidR="00C50FE4">
        <w:rPr>
          <w:color w:val="000000" w:themeColor="text1" w:themeTint="FF" w:themeShade="FF"/>
        </w:rPr>
        <w:t xml:space="preserve"> avoid violent conflict and injury. Through a racial equity and trauma-informed lens, funded partners provide critical supports, such as close connections with trustworthy adults, opportunities to learn new skills, and access to the job market</w:t>
      </w:r>
      <w:r w:rsidRPr="1113325D" w:rsidR="00C50FE4">
        <w:rPr>
          <w:color w:val="000000" w:themeColor="text1" w:themeTint="FF" w:themeShade="FF"/>
          <w:sz w:val="22"/>
          <w:szCs w:val="22"/>
        </w:rPr>
        <w:t>.</w:t>
      </w:r>
    </w:p>
    <w:p xmlns:wp14="http://schemas.microsoft.com/office/word/2010/wordml" w:rsidR="00F31A02" w:rsidRDefault="00C50FE4" w14:paraId="0DFAE634" wp14:textId="77777777">
      <w:pPr>
        <w:ind w:left="-180"/>
        <w:rPr>
          <w:color w:val="000000"/>
        </w:rPr>
      </w:pPr>
      <w:r>
        <w:rPr>
          <w:color w:val="000000"/>
        </w:rPr>
        <w:t xml:space="preserve">  </w:t>
      </w:r>
    </w:p>
    <w:p xmlns:wp14="http://schemas.microsoft.com/office/word/2010/wordml" w:rsidR="00F31A02" w:rsidRDefault="00F31A02" w14:paraId="41C8F396" wp14:textId="77777777">
      <w:pPr>
        <w:ind w:left="-180"/>
      </w:pPr>
    </w:p>
    <w:p xmlns:wp14="http://schemas.microsoft.com/office/word/2010/wordml" w:rsidR="00F31A02" w:rsidRDefault="00C50FE4" w14:paraId="456A08D0" wp14:textId="77777777">
      <w:pPr>
        <w:ind w:left="-180"/>
      </w:pPr>
      <w:r>
        <w:t>Funded partners include:</w:t>
      </w:r>
    </w:p>
    <w:p xmlns:wp14="http://schemas.microsoft.com/office/word/2010/wordml" w:rsidR="00F31A02" w:rsidRDefault="00F31A02" w14:paraId="72A3D3EC" wp14:textId="77777777">
      <w:pPr>
        <w:ind w:left="-180"/>
      </w:pPr>
    </w:p>
    <w:p xmlns:wp14="http://schemas.microsoft.com/office/word/2010/wordml" w:rsidR="00884BC7" w:rsidRDefault="00C0418A" w14:paraId="61BBE324" wp14:textId="77777777">
      <w:pPr>
        <w:numPr>
          <w:ilvl w:val="0"/>
          <w:numId w:val="2"/>
        </w:numPr>
        <w:pBdr>
          <w:top w:val="nil"/>
          <w:left w:val="nil"/>
          <w:bottom w:val="nil"/>
          <w:right w:val="nil"/>
          <w:between w:val="nil"/>
        </w:pBdr>
      </w:pPr>
      <w:hyperlink w:history="1" r:id="rId9">
        <w:r w:rsidRPr="00884BC7" w:rsidR="00884BC7">
          <w:rPr>
            <w:rStyle w:val="Hyperlink"/>
          </w:rPr>
          <w:t>1</w:t>
        </w:r>
        <w:r w:rsidRPr="00884BC7" w:rsidR="00884BC7">
          <w:rPr>
            <w:rStyle w:val="Hyperlink"/>
          </w:rPr>
          <w:t>8 Degrees</w:t>
        </w:r>
      </w:hyperlink>
      <w:r w:rsidR="00884BC7">
        <w:t xml:space="preserve"> (</w:t>
      </w:r>
      <w:r w:rsidRPr="00884BC7" w:rsidR="00884BC7">
        <w:rPr>
          <w:i/>
        </w:rPr>
        <w:t>Pittsfield</w:t>
      </w:r>
      <w:r w:rsidR="00884BC7">
        <w:t>)</w:t>
      </w:r>
    </w:p>
    <w:p xmlns:wp14="http://schemas.microsoft.com/office/word/2010/wordml" w:rsidRPr="00884BC7" w:rsidR="00F31A02" w:rsidRDefault="00C0418A" w14:paraId="6F32DF86" wp14:textId="77777777">
      <w:pPr>
        <w:numPr>
          <w:ilvl w:val="0"/>
          <w:numId w:val="2"/>
        </w:numPr>
        <w:pBdr>
          <w:top w:val="nil"/>
          <w:left w:val="nil"/>
          <w:bottom w:val="nil"/>
          <w:right w:val="nil"/>
          <w:between w:val="nil"/>
        </w:pBdr>
      </w:pPr>
      <w:hyperlink r:id="rId10">
        <w:r w:rsidRPr="001F3FD1" w:rsidR="00C50FE4">
          <w:rPr>
            <w:color w:val="0563C1"/>
            <w:u w:val="single"/>
          </w:rPr>
          <w:t>College Bound</w:t>
        </w:r>
      </w:hyperlink>
      <w:r w:rsidRPr="001F3FD1" w:rsidR="00AB4E66">
        <w:rPr>
          <w:color w:val="0563C1"/>
          <w:u w:val="single"/>
        </w:rPr>
        <w:t xml:space="preserve"> Dorchester</w:t>
      </w:r>
      <w:r w:rsidRPr="001F3FD1" w:rsidR="00C50FE4">
        <w:rPr>
          <w:color w:val="000000"/>
        </w:rPr>
        <w:t xml:space="preserve"> </w:t>
      </w:r>
      <w:r w:rsidRPr="001F3FD1" w:rsidR="00C50FE4">
        <w:rPr>
          <w:i/>
          <w:color w:val="000000"/>
        </w:rPr>
        <w:t>(Dorchester</w:t>
      </w:r>
      <w:r w:rsidR="00C50FE4">
        <w:rPr>
          <w:i/>
          <w:color w:val="000000"/>
        </w:rPr>
        <w:t>)</w:t>
      </w:r>
    </w:p>
    <w:p xmlns:wp14="http://schemas.microsoft.com/office/word/2010/wordml" w:rsidR="00340C0E" w:rsidRDefault="00C0418A" w14:paraId="7AAEFCEA" wp14:textId="77777777">
      <w:pPr>
        <w:numPr>
          <w:ilvl w:val="0"/>
          <w:numId w:val="2"/>
        </w:numPr>
        <w:pBdr>
          <w:top w:val="nil"/>
          <w:left w:val="nil"/>
          <w:bottom w:val="nil"/>
          <w:right w:val="nil"/>
          <w:between w:val="nil"/>
        </w:pBdr>
      </w:pPr>
      <w:hyperlink w:history="1" r:id="rId11">
        <w:r w:rsidRPr="00884BC7" w:rsidR="00340C0E">
          <w:rPr>
            <w:rStyle w:val="Hyperlink"/>
          </w:rPr>
          <w:t>Greater Fall River RE-CRE</w:t>
        </w:r>
        <w:r w:rsidRPr="00884BC7" w:rsidR="00340C0E">
          <w:rPr>
            <w:rStyle w:val="Hyperlink"/>
          </w:rPr>
          <w:t>ATION</w:t>
        </w:r>
      </w:hyperlink>
      <w:r w:rsidR="00340C0E">
        <w:rPr>
          <w:color w:val="000000"/>
        </w:rPr>
        <w:t xml:space="preserve"> </w:t>
      </w:r>
      <w:r w:rsidR="00340C0E">
        <w:rPr>
          <w:i/>
          <w:color w:val="000000"/>
        </w:rPr>
        <w:t>(Fall River)</w:t>
      </w:r>
    </w:p>
    <w:p xmlns:wp14="http://schemas.microsoft.com/office/word/2010/wordml" w:rsidR="00F31A02" w:rsidRDefault="00C0418A" w14:paraId="2DC129E0" wp14:textId="77777777">
      <w:pPr>
        <w:numPr>
          <w:ilvl w:val="0"/>
          <w:numId w:val="2"/>
        </w:numPr>
        <w:pBdr>
          <w:top w:val="nil"/>
          <w:left w:val="nil"/>
          <w:bottom w:val="nil"/>
          <w:right w:val="nil"/>
          <w:between w:val="nil"/>
        </w:pBdr>
      </w:pPr>
      <w:hyperlink r:id="rId12">
        <w:r w:rsidR="00C50FE4">
          <w:rPr>
            <w:color w:val="0563C1"/>
            <w:u w:val="single"/>
          </w:rPr>
          <w:t>Madison Park Development Corporation</w:t>
        </w:r>
      </w:hyperlink>
      <w:r w:rsidR="00C50FE4">
        <w:rPr>
          <w:color w:val="000000"/>
        </w:rPr>
        <w:t xml:space="preserve"> </w:t>
      </w:r>
      <w:r w:rsidR="00C50FE4">
        <w:rPr>
          <w:i/>
          <w:color w:val="000000"/>
        </w:rPr>
        <w:t>(Roxbury)</w:t>
      </w:r>
    </w:p>
    <w:p xmlns:wp14="http://schemas.microsoft.com/office/word/2010/wordml" w:rsidR="00F31A02" w:rsidRDefault="00C0418A" w14:paraId="37F3C523" wp14:textId="77777777">
      <w:pPr>
        <w:numPr>
          <w:ilvl w:val="0"/>
          <w:numId w:val="2"/>
        </w:numPr>
        <w:pBdr>
          <w:top w:val="nil"/>
          <w:left w:val="nil"/>
          <w:bottom w:val="nil"/>
          <w:right w:val="nil"/>
          <w:between w:val="nil"/>
        </w:pBdr>
      </w:pPr>
      <w:hyperlink r:id="rId13">
        <w:r w:rsidR="00C50FE4">
          <w:rPr>
            <w:color w:val="0563C1"/>
            <w:u w:val="single"/>
          </w:rPr>
          <w:t>More Than Words</w:t>
        </w:r>
      </w:hyperlink>
      <w:r w:rsidR="00C50FE4">
        <w:rPr>
          <w:color w:val="000000"/>
        </w:rPr>
        <w:t xml:space="preserve"> </w:t>
      </w:r>
      <w:r w:rsidR="00C50FE4">
        <w:rPr>
          <w:i/>
          <w:color w:val="000000"/>
        </w:rPr>
        <w:t>(South End Roxbury, Dorchester, Mattapan)</w:t>
      </w:r>
    </w:p>
    <w:p xmlns:wp14="http://schemas.microsoft.com/office/word/2010/wordml" w:rsidR="00F31A02" w:rsidRDefault="00C0418A" w14:paraId="7EE07E48" wp14:textId="77777777">
      <w:pPr>
        <w:numPr>
          <w:ilvl w:val="0"/>
          <w:numId w:val="2"/>
        </w:numPr>
        <w:pBdr>
          <w:top w:val="nil"/>
          <w:left w:val="nil"/>
          <w:bottom w:val="nil"/>
          <w:right w:val="nil"/>
          <w:between w:val="nil"/>
        </w:pBdr>
      </w:pPr>
      <w:hyperlink r:id="rId14">
        <w:r w:rsidR="00C50FE4">
          <w:rPr>
            <w:color w:val="0563C1"/>
            <w:u w:val="single"/>
          </w:rPr>
          <w:t>Mothers for Justice and Equality</w:t>
        </w:r>
      </w:hyperlink>
      <w:r w:rsidR="00C50FE4">
        <w:rPr>
          <w:color w:val="000000"/>
        </w:rPr>
        <w:t xml:space="preserve"> </w:t>
      </w:r>
      <w:r w:rsidR="00C50FE4">
        <w:rPr>
          <w:i/>
          <w:color w:val="000000"/>
        </w:rPr>
        <w:t>(Dorchester, Roxbury, Mattapan)</w:t>
      </w:r>
    </w:p>
    <w:p xmlns:wp14="http://schemas.microsoft.com/office/word/2010/wordml" w:rsidR="00F31A02" w:rsidRDefault="00C0418A" w14:paraId="2AF5E62E" wp14:textId="77777777">
      <w:pPr>
        <w:numPr>
          <w:ilvl w:val="0"/>
          <w:numId w:val="2"/>
        </w:numPr>
        <w:pBdr>
          <w:top w:val="nil"/>
          <w:left w:val="nil"/>
          <w:bottom w:val="nil"/>
          <w:right w:val="nil"/>
          <w:between w:val="nil"/>
        </w:pBdr>
        <w:rPr>
          <w:i/>
          <w:color w:val="000000"/>
        </w:rPr>
      </w:pPr>
      <w:hyperlink r:id="rId15">
        <w:r w:rsidR="00C50FE4">
          <w:rPr>
            <w:color w:val="0563C1"/>
            <w:u w:val="single"/>
          </w:rPr>
          <w:t>New North Citizens Council</w:t>
        </w:r>
      </w:hyperlink>
      <w:r w:rsidR="00BE4644">
        <w:rPr>
          <w:color w:val="0563C1"/>
          <w:u w:val="single"/>
        </w:rPr>
        <w:t>, Inc.</w:t>
      </w:r>
      <w:r w:rsidR="00C50FE4">
        <w:rPr>
          <w:color w:val="000000"/>
        </w:rPr>
        <w:t xml:space="preserve"> </w:t>
      </w:r>
      <w:r w:rsidR="00C50FE4">
        <w:rPr>
          <w:i/>
          <w:color w:val="000000"/>
        </w:rPr>
        <w:t>(Springfield)</w:t>
      </w:r>
    </w:p>
    <w:p xmlns:wp14="http://schemas.microsoft.com/office/word/2010/wordml" w:rsidR="00F31A02" w:rsidRDefault="00C0418A" w14:paraId="55C64476" wp14:textId="77777777">
      <w:pPr>
        <w:numPr>
          <w:ilvl w:val="0"/>
          <w:numId w:val="2"/>
        </w:numPr>
        <w:pBdr>
          <w:top w:val="nil"/>
          <w:left w:val="nil"/>
          <w:bottom w:val="nil"/>
          <w:right w:val="nil"/>
          <w:between w:val="nil"/>
        </w:pBdr>
      </w:pPr>
      <w:hyperlink r:id="rId16">
        <w:proofErr w:type="spellStart"/>
        <w:r w:rsidR="00C50FE4">
          <w:rPr>
            <w:color w:val="0563C1"/>
            <w:u w:val="single"/>
          </w:rPr>
          <w:t>NorthStar</w:t>
        </w:r>
        <w:proofErr w:type="spellEnd"/>
        <w:r w:rsidR="00C50FE4">
          <w:rPr>
            <w:color w:val="0563C1"/>
            <w:u w:val="single"/>
          </w:rPr>
          <w:t xml:space="preserve"> Learning Centers, Inc.</w:t>
        </w:r>
      </w:hyperlink>
      <w:r w:rsidR="00C50FE4">
        <w:rPr>
          <w:color w:val="000000"/>
        </w:rPr>
        <w:t xml:space="preserve"> </w:t>
      </w:r>
      <w:r w:rsidR="00C50FE4">
        <w:rPr>
          <w:i/>
          <w:color w:val="000000"/>
        </w:rPr>
        <w:t>(New Bedford)</w:t>
      </w:r>
    </w:p>
    <w:p xmlns:wp14="http://schemas.microsoft.com/office/word/2010/wordml" w:rsidR="00F31A02" w:rsidRDefault="00C0418A" w14:paraId="22BF0136" wp14:textId="77777777">
      <w:pPr>
        <w:numPr>
          <w:ilvl w:val="0"/>
          <w:numId w:val="2"/>
        </w:numPr>
        <w:pBdr>
          <w:top w:val="nil"/>
          <w:left w:val="nil"/>
          <w:bottom w:val="nil"/>
          <w:right w:val="nil"/>
          <w:between w:val="nil"/>
        </w:pBdr>
        <w:rPr>
          <w:i/>
          <w:color w:val="000000"/>
        </w:rPr>
      </w:pPr>
      <w:hyperlink r:id="rId17">
        <w:r w:rsidR="00C50FE4">
          <w:rPr>
            <w:color w:val="0563C1"/>
            <w:u w:val="single"/>
          </w:rPr>
          <w:t>Old Colony YMCA</w:t>
        </w:r>
      </w:hyperlink>
      <w:r w:rsidR="00C50FE4">
        <w:rPr>
          <w:color w:val="000000"/>
        </w:rPr>
        <w:t xml:space="preserve"> </w:t>
      </w:r>
      <w:r w:rsidR="00C50FE4">
        <w:rPr>
          <w:i/>
          <w:color w:val="000000"/>
        </w:rPr>
        <w:t xml:space="preserve">(Brockton) </w:t>
      </w:r>
    </w:p>
    <w:p xmlns:wp14="http://schemas.microsoft.com/office/word/2010/wordml" w:rsidR="00340C0E" w:rsidRDefault="00884BC7" w14:paraId="35DF5DB7" wp14:textId="77777777">
      <w:pPr>
        <w:numPr>
          <w:ilvl w:val="0"/>
          <w:numId w:val="2"/>
        </w:numPr>
        <w:pBdr>
          <w:top w:val="nil"/>
          <w:left w:val="nil"/>
          <w:bottom w:val="nil"/>
          <w:right w:val="nil"/>
          <w:between w:val="nil"/>
        </w:pBdr>
        <w:rPr>
          <w:i/>
          <w:color w:val="000000"/>
        </w:rPr>
      </w:pPr>
      <w:hyperlink w:history="1" r:id="rId18">
        <w:r w:rsidRPr="00884BC7" w:rsidR="00340C0E">
          <w:rPr>
            <w:rStyle w:val="Hyperlink"/>
          </w:rPr>
          <w:t>Project RIGHT</w:t>
        </w:r>
        <w:r w:rsidRPr="00884BC7" w:rsidR="00340C0E">
          <w:rPr>
            <w:rStyle w:val="Hyperlink"/>
          </w:rPr>
          <w:t>, Inc</w:t>
        </w:r>
      </w:hyperlink>
      <w:r w:rsidR="00340C0E">
        <w:rPr>
          <w:color w:val="000000"/>
        </w:rPr>
        <w:t>. (</w:t>
      </w:r>
      <w:r w:rsidR="002755A1">
        <w:rPr>
          <w:i/>
          <w:color w:val="000000"/>
        </w:rPr>
        <w:t>Roxbury/</w:t>
      </w:r>
      <w:r>
        <w:rPr>
          <w:i/>
          <w:color w:val="000000"/>
        </w:rPr>
        <w:t>North Dorchester</w:t>
      </w:r>
      <w:r w:rsidR="00340C0E">
        <w:rPr>
          <w:color w:val="000000"/>
        </w:rPr>
        <w:t>)</w:t>
      </w:r>
    </w:p>
    <w:p xmlns:wp14="http://schemas.microsoft.com/office/word/2010/wordml" w:rsidRPr="00884BC7" w:rsidR="00F31A02" w:rsidRDefault="00DF63B7" w14:paraId="3A680792" wp14:textId="77777777">
      <w:pPr>
        <w:numPr>
          <w:ilvl w:val="0"/>
          <w:numId w:val="2"/>
        </w:numPr>
        <w:pBdr>
          <w:top w:val="nil"/>
          <w:left w:val="nil"/>
          <w:bottom w:val="nil"/>
          <w:right w:val="nil"/>
          <w:between w:val="nil"/>
        </w:pBdr>
      </w:pPr>
      <w:hyperlink r:id="rId19">
        <w:r w:rsidRPr="001F3FD1" w:rsidR="00C50FE4">
          <w:rPr>
            <w:color w:val="0563C1"/>
            <w:u w:val="single"/>
          </w:rPr>
          <w:t>ROC</w:t>
        </w:r>
        <w:r w:rsidRPr="001F3FD1" w:rsidR="00C50FE4">
          <w:rPr>
            <w:color w:val="0563C1"/>
            <w:u w:val="single"/>
          </w:rPr>
          <w:t>A</w:t>
        </w:r>
      </w:hyperlink>
      <w:r w:rsidRPr="001F3FD1" w:rsidR="00AB4E66">
        <w:rPr>
          <w:color w:val="0563C1"/>
          <w:u w:val="single"/>
        </w:rPr>
        <w:t>, Inc.</w:t>
      </w:r>
      <w:r w:rsidR="00C50FE4">
        <w:rPr>
          <w:color w:val="000000"/>
        </w:rPr>
        <w:t xml:space="preserve"> </w:t>
      </w:r>
      <w:r w:rsidR="00C50FE4">
        <w:rPr>
          <w:i/>
          <w:color w:val="000000"/>
        </w:rPr>
        <w:t>(Springfield)</w:t>
      </w:r>
    </w:p>
    <w:p xmlns:wp14="http://schemas.microsoft.com/office/word/2010/wordml" w:rsidR="00340C0E" w:rsidRDefault="00C0418A" w14:paraId="285048A7" wp14:textId="77777777">
      <w:pPr>
        <w:numPr>
          <w:ilvl w:val="0"/>
          <w:numId w:val="2"/>
        </w:numPr>
        <w:pBdr>
          <w:top w:val="nil"/>
          <w:left w:val="nil"/>
          <w:bottom w:val="nil"/>
          <w:right w:val="nil"/>
          <w:between w:val="nil"/>
        </w:pBdr>
      </w:pPr>
      <w:hyperlink r:id="rId20">
        <w:r w:rsidRPr="001F3FD1" w:rsidR="00884BC7">
          <w:rPr>
            <w:color w:val="0563C1"/>
            <w:u w:val="single"/>
          </w:rPr>
          <w:t>ROCA</w:t>
        </w:r>
      </w:hyperlink>
      <w:r w:rsidRPr="001F3FD1" w:rsidR="00884BC7">
        <w:rPr>
          <w:color w:val="0563C1"/>
          <w:u w:val="single"/>
        </w:rPr>
        <w:t>, Inc.</w:t>
      </w:r>
      <w:r w:rsidR="00884BC7">
        <w:rPr>
          <w:color w:val="000000"/>
        </w:rPr>
        <w:t xml:space="preserve"> </w:t>
      </w:r>
      <w:r w:rsidR="00340C0E">
        <w:rPr>
          <w:i/>
          <w:color w:val="000000"/>
        </w:rPr>
        <w:t>(Lynn)</w:t>
      </w:r>
    </w:p>
    <w:p xmlns:wp14="http://schemas.microsoft.com/office/word/2010/wordml" w:rsidRPr="00884BC7" w:rsidR="00F31A02" w:rsidRDefault="00C0418A" w14:paraId="6B99B9A3" wp14:textId="77777777">
      <w:pPr>
        <w:numPr>
          <w:ilvl w:val="0"/>
          <w:numId w:val="2"/>
        </w:numPr>
        <w:pBdr>
          <w:top w:val="nil"/>
          <w:left w:val="nil"/>
          <w:bottom w:val="nil"/>
          <w:right w:val="nil"/>
          <w:between w:val="nil"/>
        </w:pBdr>
      </w:pPr>
      <w:hyperlink r:id="rId21">
        <w:r w:rsidRPr="001F3FD1" w:rsidR="00C50FE4">
          <w:rPr>
            <w:color w:val="0563C1"/>
            <w:u w:val="single"/>
          </w:rPr>
          <w:t>UTE</w:t>
        </w:r>
        <w:bookmarkStart w:name="_GoBack" w:id="1"/>
        <w:bookmarkEnd w:id="1"/>
        <w:r w:rsidRPr="001F3FD1" w:rsidR="00C50FE4">
          <w:rPr>
            <w:color w:val="0563C1"/>
            <w:u w:val="single"/>
          </w:rPr>
          <w:t>C</w:t>
        </w:r>
      </w:hyperlink>
      <w:r w:rsidRPr="001F3FD1" w:rsidR="00524231">
        <w:rPr>
          <w:color w:val="0563C1"/>
          <w:u w:val="single"/>
        </w:rPr>
        <w:t>, Inc.</w:t>
      </w:r>
      <w:r w:rsidR="00C50FE4">
        <w:rPr>
          <w:color w:val="000000"/>
        </w:rPr>
        <w:t xml:space="preserve"> </w:t>
      </w:r>
      <w:r w:rsidR="00C50FE4">
        <w:rPr>
          <w:i/>
          <w:color w:val="000000"/>
        </w:rPr>
        <w:t>(Lawrence)</w:t>
      </w:r>
    </w:p>
    <w:p xmlns:wp14="http://schemas.microsoft.com/office/word/2010/wordml" w:rsidRPr="00765950" w:rsidR="00884BC7" w:rsidP="00884BC7" w:rsidRDefault="00C0418A" w14:paraId="4CB4A25F" wp14:textId="77777777">
      <w:pPr>
        <w:numPr>
          <w:ilvl w:val="0"/>
          <w:numId w:val="2"/>
        </w:numPr>
        <w:pBdr>
          <w:top w:val="nil"/>
          <w:left w:val="nil"/>
          <w:bottom w:val="nil"/>
          <w:right w:val="nil"/>
          <w:between w:val="nil"/>
        </w:pBdr>
      </w:pPr>
      <w:hyperlink r:id="rId22">
        <w:r w:rsidRPr="001F3FD1" w:rsidR="00884BC7">
          <w:rPr>
            <w:color w:val="0563C1"/>
            <w:u w:val="single"/>
          </w:rPr>
          <w:t>UTEC</w:t>
        </w:r>
      </w:hyperlink>
      <w:r w:rsidRPr="001F3FD1" w:rsidR="00884BC7">
        <w:rPr>
          <w:color w:val="0563C1"/>
          <w:u w:val="single"/>
        </w:rPr>
        <w:t>, Inc.</w:t>
      </w:r>
      <w:r w:rsidR="00884BC7">
        <w:rPr>
          <w:color w:val="000000"/>
        </w:rPr>
        <w:t xml:space="preserve"> </w:t>
      </w:r>
      <w:r w:rsidR="00884BC7">
        <w:rPr>
          <w:i/>
          <w:color w:val="000000"/>
        </w:rPr>
        <w:t>(Haverhill)</w:t>
      </w:r>
    </w:p>
    <w:p xmlns:wp14="http://schemas.microsoft.com/office/word/2010/wordml" w:rsidR="00F31A02" w:rsidRDefault="00C0418A" w14:paraId="3D351721" wp14:textId="77777777">
      <w:pPr>
        <w:numPr>
          <w:ilvl w:val="0"/>
          <w:numId w:val="2"/>
        </w:numPr>
        <w:pBdr>
          <w:top w:val="nil"/>
          <w:left w:val="nil"/>
          <w:bottom w:val="nil"/>
          <w:right w:val="nil"/>
          <w:between w:val="nil"/>
        </w:pBdr>
      </w:pPr>
      <w:hyperlink r:id="rId23">
        <w:r w:rsidRPr="001F3FD1" w:rsidR="00C50FE4">
          <w:rPr>
            <w:color w:val="0563C1"/>
            <w:u w:val="single"/>
          </w:rPr>
          <w:t>Worcester Youth Center</w:t>
        </w:r>
      </w:hyperlink>
      <w:r w:rsidRPr="001F3FD1" w:rsidR="00C50FE4">
        <w:rPr>
          <w:color w:val="000000"/>
        </w:rPr>
        <w:t xml:space="preserve"> </w:t>
      </w:r>
      <w:r w:rsidRPr="001F3FD1" w:rsidR="00C50FE4">
        <w:rPr>
          <w:i/>
          <w:color w:val="000000"/>
        </w:rPr>
        <w:t>(Worcester</w:t>
      </w:r>
      <w:r w:rsidR="00C50FE4">
        <w:rPr>
          <w:i/>
          <w:color w:val="000000"/>
        </w:rPr>
        <w:t xml:space="preserve">) </w:t>
      </w:r>
    </w:p>
    <w:p xmlns:wp14="http://schemas.microsoft.com/office/word/2010/wordml" w:rsidR="00F31A02" w:rsidRDefault="00F31A02" w14:paraId="0D0B940D" wp14:textId="77777777">
      <w:pPr>
        <w:ind w:left="-180"/>
      </w:pPr>
    </w:p>
    <w:p xmlns:wp14="http://schemas.microsoft.com/office/word/2010/wordml" w:rsidR="00F31A02" w:rsidRDefault="00C50FE4" w14:paraId="66A2576C" wp14:textId="77777777">
      <w:pPr>
        <w:ind w:left="-180"/>
        <w:rPr>
          <w:b/>
          <w:color w:val="4376BB"/>
          <w:sz w:val="28"/>
          <w:szCs w:val="28"/>
        </w:rPr>
      </w:pPr>
      <w:r>
        <w:rPr>
          <w:b/>
          <w:color w:val="4376BB"/>
          <w:sz w:val="28"/>
          <w:szCs w:val="28"/>
        </w:rPr>
        <w:t xml:space="preserve">Part of a Comprehensive Approach </w:t>
      </w:r>
    </w:p>
    <w:p xmlns:wp14="http://schemas.microsoft.com/office/word/2010/wordml" w:rsidR="00F31A02" w:rsidRDefault="00C50FE4" w14:paraId="1EC475B5" wp14:textId="77777777">
      <w:pPr>
        <w:ind w:left="-180"/>
      </w:pPr>
      <w:r>
        <w:t>The</w:t>
      </w:r>
      <w:r>
        <w:rPr>
          <w:color w:val="FF0000"/>
        </w:rPr>
        <w:t xml:space="preserve"> </w:t>
      </w:r>
      <w:r>
        <w:t xml:space="preserve">Gun Violence Prevention Program is part of the </w:t>
      </w:r>
      <w:hyperlink r:id="rId24">
        <w:r>
          <w:rPr>
            <w:color w:val="0563C1"/>
            <w:u w:val="single"/>
          </w:rPr>
          <w:t>Child and Youth Violence Prevention Unit</w:t>
        </w:r>
      </w:hyperlink>
      <w:r>
        <w:rPr>
          <w:color w:val="0563C1"/>
          <w:u w:val="single"/>
        </w:rPr>
        <w:t xml:space="preserve"> within the Massachusetts Department of Public Health</w:t>
      </w:r>
      <w:r w:rsidR="002A455E">
        <w:rPr>
          <w:color w:val="0563C1"/>
          <w:u w:val="single"/>
        </w:rPr>
        <w:t xml:space="preserve"> (DPH)</w:t>
      </w:r>
      <w:r>
        <w:rPr>
          <w:color w:val="0563C1"/>
          <w:u w:val="single"/>
        </w:rPr>
        <w:t>.</w:t>
      </w:r>
      <w:r>
        <w:t xml:space="preserve"> We invest in a variety of community-based programs to address the root causes of violence and </w:t>
      </w:r>
      <w:r w:rsidR="002A455E">
        <w:t xml:space="preserve">improve </w:t>
      </w:r>
      <w:r>
        <w:t xml:space="preserve">health outcomes for young people ages 10-24 years old. Our approach to preventing youth violence supports the individuals who are most impacted by violence while addressing the context in which they live. </w:t>
      </w:r>
      <w:r>
        <w:br/>
      </w:r>
      <w:r>
        <w:br/>
      </w:r>
      <w:r>
        <w:t>Our approach is guided by the following core principles:</w:t>
      </w:r>
    </w:p>
    <w:p xmlns:wp14="http://schemas.microsoft.com/office/word/2010/wordml" w:rsidR="00F31A02" w:rsidRDefault="00C50FE4" w14:paraId="0B82997B" wp14:textId="77777777">
      <w:pPr>
        <w:numPr>
          <w:ilvl w:val="0"/>
          <w:numId w:val="1"/>
        </w:numPr>
        <w:pBdr>
          <w:top w:val="nil"/>
          <w:left w:val="nil"/>
          <w:bottom w:val="nil"/>
          <w:right w:val="nil"/>
          <w:between w:val="nil"/>
        </w:pBdr>
        <w:rPr>
          <w:b/>
          <w:color w:val="000000"/>
        </w:rPr>
      </w:pPr>
      <w:r>
        <w:rPr>
          <w:b/>
          <w:color w:val="000000"/>
        </w:rPr>
        <w:t>Racial equity</w:t>
      </w:r>
    </w:p>
    <w:p xmlns:wp14="http://schemas.microsoft.com/office/word/2010/wordml" w:rsidR="00F31A02" w:rsidRDefault="00C50FE4" w14:paraId="76085CDE" wp14:textId="77777777">
      <w:pPr>
        <w:numPr>
          <w:ilvl w:val="0"/>
          <w:numId w:val="1"/>
        </w:numPr>
        <w:pBdr>
          <w:top w:val="nil"/>
          <w:left w:val="nil"/>
          <w:bottom w:val="nil"/>
          <w:right w:val="nil"/>
          <w:between w:val="nil"/>
        </w:pBdr>
        <w:rPr>
          <w:b/>
          <w:color w:val="000000"/>
        </w:rPr>
      </w:pPr>
      <w:r>
        <w:rPr>
          <w:b/>
          <w:color w:val="000000"/>
        </w:rPr>
        <w:t>Trauma-informed service provision</w:t>
      </w:r>
    </w:p>
    <w:p xmlns:wp14="http://schemas.microsoft.com/office/word/2010/wordml" w:rsidR="002A455E" w:rsidRDefault="00C50FE4" w14:paraId="493F4F2F" wp14:textId="77777777">
      <w:pPr>
        <w:numPr>
          <w:ilvl w:val="0"/>
          <w:numId w:val="1"/>
        </w:numPr>
        <w:pBdr>
          <w:top w:val="nil"/>
          <w:left w:val="nil"/>
          <w:bottom w:val="nil"/>
          <w:right w:val="nil"/>
          <w:between w:val="nil"/>
        </w:pBdr>
        <w:rPr>
          <w:b/>
          <w:color w:val="000000"/>
        </w:rPr>
      </w:pPr>
      <w:r>
        <w:rPr>
          <w:b/>
          <w:color w:val="000000"/>
        </w:rPr>
        <w:t>Positive youth development</w:t>
      </w:r>
    </w:p>
    <w:p xmlns:wp14="http://schemas.microsoft.com/office/word/2010/wordml" w:rsidR="00F31A02" w:rsidRDefault="002A455E" w14:paraId="46C589A8" wp14:textId="77777777">
      <w:pPr>
        <w:numPr>
          <w:ilvl w:val="0"/>
          <w:numId w:val="1"/>
        </w:numPr>
        <w:pBdr>
          <w:top w:val="nil"/>
          <w:left w:val="nil"/>
          <w:bottom w:val="nil"/>
          <w:right w:val="nil"/>
          <w:between w:val="nil"/>
        </w:pBdr>
        <w:rPr>
          <w:b/>
          <w:color w:val="000000"/>
        </w:rPr>
      </w:pPr>
      <w:r>
        <w:rPr>
          <w:b/>
          <w:color w:val="000000"/>
        </w:rPr>
        <w:t>I</w:t>
      </w:r>
      <w:r w:rsidR="00C50FE4">
        <w:rPr>
          <w:b/>
          <w:color w:val="000000"/>
        </w:rPr>
        <w:t>ntersectionality</w:t>
      </w:r>
    </w:p>
    <w:p xmlns:wp14="http://schemas.microsoft.com/office/word/2010/wordml" w:rsidR="00F31A02" w:rsidRDefault="00C50FE4" w14:paraId="49D2FABA" wp14:textId="77777777">
      <w:pPr>
        <w:numPr>
          <w:ilvl w:val="0"/>
          <w:numId w:val="1"/>
        </w:numPr>
        <w:pBdr>
          <w:top w:val="nil"/>
          <w:left w:val="nil"/>
          <w:bottom w:val="nil"/>
          <w:right w:val="nil"/>
          <w:between w:val="nil"/>
        </w:pBdr>
        <w:rPr>
          <w:b/>
          <w:color w:val="000000"/>
        </w:rPr>
      </w:pPr>
      <w:r>
        <w:rPr>
          <w:b/>
          <w:color w:val="000000"/>
        </w:rPr>
        <w:t>Cultural humility</w:t>
      </w:r>
    </w:p>
    <w:p xmlns:wp14="http://schemas.microsoft.com/office/word/2010/wordml" w:rsidR="00F31A02" w:rsidRDefault="00C50FE4" w14:paraId="6F395D30" wp14:textId="77777777">
      <w:pPr>
        <w:numPr>
          <w:ilvl w:val="0"/>
          <w:numId w:val="1"/>
        </w:numPr>
        <w:pBdr>
          <w:top w:val="nil"/>
          <w:left w:val="nil"/>
          <w:bottom w:val="nil"/>
          <w:right w:val="nil"/>
          <w:between w:val="nil"/>
        </w:pBdr>
        <w:rPr>
          <w:b/>
          <w:color w:val="000000"/>
        </w:rPr>
      </w:pPr>
      <w:r>
        <w:rPr>
          <w:b/>
          <w:color w:val="000000"/>
        </w:rPr>
        <w:t>Restorative justice</w:t>
      </w:r>
    </w:p>
    <w:p xmlns:wp14="http://schemas.microsoft.com/office/word/2010/wordml" w:rsidR="00F31A02" w:rsidRDefault="00C50FE4" w14:paraId="07DFD2E0" wp14:textId="77777777">
      <w:pPr>
        <w:numPr>
          <w:ilvl w:val="0"/>
          <w:numId w:val="1"/>
        </w:numPr>
        <w:pBdr>
          <w:top w:val="nil"/>
          <w:left w:val="nil"/>
          <w:bottom w:val="nil"/>
          <w:right w:val="nil"/>
          <w:between w:val="nil"/>
        </w:pBdr>
        <w:rPr>
          <w:b/>
          <w:color w:val="000000"/>
        </w:rPr>
      </w:pPr>
      <w:r>
        <w:rPr>
          <w:b/>
          <w:color w:val="000000"/>
        </w:rPr>
        <w:t>Collective impact</w:t>
      </w:r>
    </w:p>
    <w:p xmlns:wp14="http://schemas.microsoft.com/office/word/2010/wordml" w:rsidR="00F31A02" w:rsidRDefault="00C50FE4" w14:paraId="0B20FCE8" wp14:textId="77777777">
      <w:pPr>
        <w:numPr>
          <w:ilvl w:val="0"/>
          <w:numId w:val="1"/>
        </w:numPr>
        <w:pBdr>
          <w:top w:val="nil"/>
          <w:left w:val="nil"/>
          <w:bottom w:val="nil"/>
          <w:right w:val="nil"/>
          <w:between w:val="nil"/>
        </w:pBdr>
        <w:rPr>
          <w:b/>
          <w:color w:val="000000"/>
        </w:rPr>
      </w:pPr>
      <w:r>
        <w:rPr>
          <w:b/>
          <w:color w:val="000000"/>
        </w:rPr>
        <w:t>Building and sustaining the leadership of people of color.</w:t>
      </w:r>
    </w:p>
    <w:p xmlns:wp14="http://schemas.microsoft.com/office/word/2010/wordml" w:rsidR="00F31A02" w:rsidRDefault="00F31A02" w14:paraId="0E27B00A" wp14:textId="77777777">
      <w:pPr>
        <w:rPr>
          <w:color w:val="000000"/>
        </w:rPr>
      </w:pPr>
    </w:p>
    <w:p xmlns:wp14="http://schemas.microsoft.com/office/word/2010/wordml" w:rsidR="00F31A02" w:rsidRDefault="00C50FE4" w14:paraId="1AFFCD6C" wp14:textId="77777777">
      <w:pPr>
        <w:ind w:left="-180"/>
      </w:pPr>
      <w:r>
        <w:t xml:space="preserve">DPH’s complementary programs include: </w:t>
      </w:r>
      <w:hyperlink r:id="rId25">
        <w:r>
          <w:rPr>
            <w:b/>
            <w:color w:val="0563C1"/>
            <w:u w:val="single"/>
          </w:rPr>
          <w:t>Safe Spaces</w:t>
        </w:r>
      </w:hyperlink>
      <w:r>
        <w:t xml:space="preserve">, </w:t>
      </w:r>
      <w:r w:rsidR="002A455E">
        <w:t xml:space="preserve">offering </w:t>
      </w:r>
      <w:r>
        <w:t xml:space="preserve">trauma-informed services to LGBTQ youth; </w:t>
      </w:r>
      <w:hyperlink r:id="rId26">
        <w:r>
          <w:rPr>
            <w:b/>
            <w:color w:val="0563C1"/>
            <w:u w:val="single"/>
          </w:rPr>
          <w:t>Primary Violence Prevention</w:t>
        </w:r>
      </w:hyperlink>
      <w:r>
        <w:t xml:space="preserve">, providing positive interventions for youth at elevated risk for violence who are not yet engaging in serious acts of violence; and </w:t>
      </w:r>
      <w:hyperlink r:id="rId27">
        <w:r>
          <w:rPr>
            <w:b/>
            <w:color w:val="0563C1"/>
            <w:u w:val="single"/>
          </w:rPr>
          <w:t>Youth-At-Risk Programs</w:t>
        </w:r>
      </w:hyperlink>
      <w:r>
        <w:t>, tackling all types of violence affecting young people through gang intervention, outreach, job readiness, life skills, arts, and behavioral health supports. All these efforts augment the Shannon Community Safety Initiative and the Safe and Successful Youth Initiative, both part of a state</w:t>
      </w:r>
      <w:r w:rsidR="002A455E">
        <w:t>wide</w:t>
      </w:r>
      <w:r>
        <w:t xml:space="preserve"> strategy to keep young people safe</w:t>
      </w:r>
      <w:r w:rsidR="002A455E">
        <w:t xml:space="preserve"> in Massachusetts</w:t>
      </w:r>
      <w:r>
        <w:t xml:space="preserve">. </w:t>
      </w:r>
    </w:p>
    <w:p xmlns:wp14="http://schemas.microsoft.com/office/word/2010/wordml" w:rsidR="00F31A02" w:rsidRDefault="00F31A02" w14:paraId="60061E4C" wp14:textId="77777777">
      <w:pPr>
        <w:ind w:left="-180"/>
        <w:rPr>
          <w:sz w:val="22"/>
          <w:szCs w:val="22"/>
        </w:rPr>
      </w:pPr>
    </w:p>
    <w:p xmlns:wp14="http://schemas.microsoft.com/office/word/2010/wordml" w:rsidR="00F31A02" w:rsidRDefault="00C50FE4" w14:paraId="4E16AA27" wp14:textId="77777777">
      <w:pPr>
        <w:ind w:left="-180"/>
        <w:rPr>
          <w:b/>
          <w:color w:val="4376BB"/>
          <w:sz w:val="28"/>
          <w:szCs w:val="28"/>
        </w:rPr>
      </w:pPr>
      <w:r>
        <w:rPr>
          <w:b/>
          <w:color w:val="4376BB"/>
          <w:sz w:val="28"/>
          <w:szCs w:val="28"/>
        </w:rPr>
        <w:t>Learn More</w:t>
      </w:r>
    </w:p>
    <w:p xmlns:wp14="http://schemas.microsoft.com/office/word/2010/wordml" w:rsidR="00F31A02" w:rsidP="00C10D00" w:rsidRDefault="00C50FE4" w14:paraId="3EC5ECDE" wp14:textId="77777777">
      <w:pPr>
        <w:ind w:left="-180"/>
        <w:rPr>
          <w:color w:val="000000"/>
        </w:rPr>
      </w:pPr>
      <w:r>
        <w:lastRenderedPageBreak/>
        <w:t xml:space="preserve">Visit </w:t>
      </w:r>
      <w:hyperlink r:id="rId28">
        <w:r>
          <w:rPr>
            <w:color w:val="0563C1"/>
            <w:u w:val="single"/>
          </w:rPr>
          <w:t>https://www.mass.gov/child-and-youth-violence-prevention-services</w:t>
        </w:r>
      </w:hyperlink>
      <w:r>
        <w:t xml:space="preserve"> to learn more about the organizations funded, and how you can help build safe communities for young people.</w:t>
      </w:r>
    </w:p>
    <w:sectPr w:rsidR="00F31A02">
      <w:headerReference w:type="default" r:id="rId29"/>
      <w:footerReference w:type="default" r:id="rId30"/>
      <w:pgSz w:w="12240" w:h="15840" w:orient="portrait"/>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0418A" w:rsidRDefault="00C0418A" w14:paraId="44EAFD9C" wp14:textId="77777777">
      <w:r>
        <w:separator/>
      </w:r>
    </w:p>
  </w:endnote>
  <w:endnote w:type="continuationSeparator" w:id="0">
    <w:p xmlns:wp14="http://schemas.microsoft.com/office/word/2010/wordml" w:rsidR="00C0418A" w:rsidRDefault="00C0418A" w14:paraId="4B94D5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31A02" w:rsidRDefault="00C50FE4" w14:paraId="5871CE2D" wp14:textId="77777777">
    <w:pPr>
      <w:jc w:val="center"/>
      <w:rPr>
        <w:b/>
        <w:color w:val="4376BB"/>
        <w:sz w:val="32"/>
        <w:szCs w:val="32"/>
      </w:rPr>
    </w:pPr>
    <w:r>
      <w:rPr>
        <w:b/>
        <w:color w:val="4376BB"/>
        <w:sz w:val="32"/>
        <w:szCs w:val="32"/>
      </w:rPr>
      <w:t>Mass.gov/DPH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0418A" w:rsidRDefault="00C0418A" w14:paraId="3656B9AB" wp14:textId="77777777">
      <w:r>
        <w:separator/>
      </w:r>
    </w:p>
  </w:footnote>
  <w:footnote w:type="continuationSeparator" w:id="0">
    <w:p xmlns:wp14="http://schemas.microsoft.com/office/word/2010/wordml" w:rsidR="00C0418A" w:rsidRDefault="00C0418A" w14:paraId="45FB0818" wp14:textId="77777777">
      <w:r>
        <w:continuationSeparator/>
      </w:r>
    </w:p>
  </w:footnote>
  <w:footnote w:id="1">
    <w:p xmlns:wp14="http://schemas.microsoft.com/office/word/2010/wordml" w:rsidR="00F31A02" w:rsidRDefault="00C50FE4" w14:paraId="33A7AE2F" wp14:textId="7777777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Massachusetts Vio</w:t>
      </w:r>
      <w:r w:rsidR="006438DE">
        <w:rPr>
          <w:color w:val="000000"/>
          <w:sz w:val="20"/>
          <w:szCs w:val="20"/>
        </w:rPr>
        <w:t xml:space="preserve">lent Death Reporting System, </w:t>
      </w:r>
      <w:r w:rsidR="003714DD">
        <w:rPr>
          <w:sz w:val="18"/>
          <w:szCs w:val="18"/>
        </w:rPr>
        <w:t xml:space="preserve">Massachusetts Department of Public Health, </w:t>
      </w:r>
      <w:r w:rsidR="002A455E">
        <w:rPr>
          <w:color w:val="000000"/>
          <w:sz w:val="20"/>
          <w:szCs w:val="20"/>
        </w:rPr>
        <w:t xml:space="preserve"> </w:t>
      </w:r>
      <w:r w:rsidR="006438DE">
        <w:rPr>
          <w:color w:val="000000"/>
          <w:sz w:val="20"/>
          <w:szCs w:val="20"/>
        </w:rPr>
        <w:t>2013-2017</w:t>
      </w:r>
    </w:p>
  </w:footnote>
  <w:footnote w:id="2">
    <w:p xmlns:wp14="http://schemas.microsoft.com/office/word/2010/wordml" w:rsidR="00F31A02" w:rsidRDefault="00C50FE4" w14:paraId="1E47DA10" wp14:textId="7777777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Massachusetts Violent Death Reporting System, </w:t>
      </w:r>
      <w:r w:rsidR="003714DD">
        <w:rPr>
          <w:sz w:val="18"/>
          <w:szCs w:val="18"/>
        </w:rPr>
        <w:t xml:space="preserve">Massachusetts Department of Public Health, </w:t>
      </w:r>
      <w:r w:rsidR="002A455E">
        <w:rPr>
          <w:color w:val="000000"/>
          <w:sz w:val="20"/>
          <w:szCs w:val="20"/>
        </w:rPr>
        <w:t xml:space="preserve"> </w:t>
      </w:r>
      <w:r>
        <w:rPr>
          <w:color w:val="000000"/>
          <w:sz w:val="20"/>
          <w:szCs w:val="20"/>
        </w:rPr>
        <w:t>2013-2017</w:t>
      </w:r>
    </w:p>
  </w:footnote>
  <w:footnote w:id="3">
    <w:p xmlns:wp14="http://schemas.microsoft.com/office/word/2010/wordml" w:rsidR="00F31A02" w:rsidRDefault="00C50FE4" w14:paraId="7321FE0E" wp14:textId="77777777">
      <w:pPr>
        <w:rPr>
          <w:sz w:val="20"/>
          <w:szCs w:val="20"/>
        </w:rPr>
      </w:pPr>
      <w:r>
        <w:rPr>
          <w:rStyle w:val="FootnoteReference"/>
        </w:rPr>
        <w:footnoteRef/>
      </w:r>
      <w:r>
        <w:rPr>
          <w:sz w:val="20"/>
          <w:szCs w:val="20"/>
        </w:rPr>
        <w:t xml:space="preserve"> Massachusetts Inpatient Hospital Discharge Database,  Massachusetts Outpatient Emergency Department Discharge Database, and Massachusetts Outpatient Observation Stays Database, Center for Health Information and Analysis (CHIA), 2014</w:t>
      </w:r>
    </w:p>
  </w:footnote>
  <w:footnote w:id="4">
    <w:p xmlns:wp14="http://schemas.microsoft.com/office/word/2010/wordml" w:rsidR="00F31A02" w:rsidRDefault="00C50FE4" w14:paraId="162AC1A2" wp14:textId="7777777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Spotlight Team, (2017, Dec. 12). Color Line Persists, in Sickness as in Health. </w:t>
      </w:r>
      <w:r>
        <w:rPr>
          <w:i/>
          <w:color w:val="000000"/>
          <w:sz w:val="20"/>
          <w:szCs w:val="20"/>
        </w:rPr>
        <w:t>The Boston Globe.</w:t>
      </w:r>
    </w:p>
  </w:footnote>
  <w:footnote w:id="5">
    <w:p xmlns:wp14="http://schemas.microsoft.com/office/word/2010/wordml" w:rsidR="00F31A02" w:rsidRDefault="00C50FE4" w14:paraId="3B03CB65" wp14:textId="7777777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Guerra, C. (</w:t>
      </w:r>
      <w:r w:rsidR="002A455E">
        <w:rPr>
          <w:color w:val="000000"/>
          <w:sz w:val="20"/>
          <w:szCs w:val="20"/>
        </w:rPr>
        <w:t xml:space="preserve">2019, </w:t>
      </w:r>
      <w:r>
        <w:rPr>
          <w:color w:val="000000"/>
          <w:sz w:val="20"/>
          <w:szCs w:val="20"/>
        </w:rPr>
        <w:t xml:space="preserve">April 25). Redlining was Codified Racism that Shaped American Cities and this Exhibit Shows It Still Exists [Radio segment]. </w:t>
      </w:r>
      <w:proofErr w:type="spellStart"/>
      <w:r>
        <w:rPr>
          <w:i/>
          <w:color w:val="000000"/>
          <w:sz w:val="20"/>
          <w:szCs w:val="20"/>
        </w:rPr>
        <w:t>ARTery</w:t>
      </w:r>
      <w:proofErr w:type="spellEnd"/>
      <w:r>
        <w:rPr>
          <w:color w:val="000000"/>
          <w:sz w:val="20"/>
          <w:szCs w:val="20"/>
        </w:rPr>
        <w:t xml:space="preserve">. Boston, MA: WBUR.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F31A02" w:rsidRDefault="00C50FE4" w14:paraId="3DEEC669" wp14:textId="77777777">
    <w:pPr>
      <w:pBdr>
        <w:top w:val="nil"/>
        <w:left w:val="nil"/>
        <w:bottom w:val="nil"/>
        <w:right w:val="nil"/>
        <w:between w:val="nil"/>
      </w:pBdr>
      <w:tabs>
        <w:tab w:val="center" w:pos="4680"/>
        <w:tab w:val="right" w:pos="9360"/>
      </w:tabs>
      <w:rPr>
        <w:color w:val="000000"/>
      </w:rPr>
    </w:pPr>
    <w:r>
      <w:rPr>
        <w:color w:val="000000"/>
      </w:rPr>
      <w:tab/>
    </w:r>
    <w:r>
      <w:rPr>
        <w:noProof/>
        <w:color w:val="000000"/>
      </w:rPr>
      <w:drawing>
        <wp:inline xmlns:wp14="http://schemas.microsoft.com/office/word/2010/wordprocessingDrawing" distT="0" distB="0" distL="0" distR="0" wp14:anchorId="557ABF9F" wp14:editId="611624FB">
          <wp:extent cx="1940815" cy="825459"/>
          <wp:effectExtent l="0" t="0" r="0" b="0"/>
          <wp:docPr id="1" name="image1.png" descr="C:\Users\scrowther\AppData\Local\Microsoft\Windows\INetCache\Content.Outlook\C25KI4XX\GunViolPrevLogo_Horiz.png"/>
          <wp:cNvGraphicFramePr/>
          <a:graphic xmlns:a="http://schemas.openxmlformats.org/drawingml/2006/main">
            <a:graphicData uri="http://schemas.openxmlformats.org/drawingml/2006/picture">
              <pic:pic xmlns:pic="http://schemas.openxmlformats.org/drawingml/2006/picture">
                <pic:nvPicPr>
                  <pic:cNvPr id="0" name="image1.png" descr="C:\Users\scrowther\AppData\Local\Microsoft\Windows\INetCache\Content.Outlook\C25KI4XX\GunViolPrevLogo_Horiz.png"/>
                  <pic:cNvPicPr preferRelativeResize="0"/>
                </pic:nvPicPr>
                <pic:blipFill>
                  <a:blip r:embed="rId1"/>
                  <a:srcRect/>
                  <a:stretch>
                    <a:fillRect/>
                  </a:stretch>
                </pic:blipFill>
                <pic:spPr>
                  <a:xfrm>
                    <a:off x="0" y="0"/>
                    <a:ext cx="1940815" cy="825459"/>
                  </a:xfrm>
                  <a:prstGeom prst="rect">
                    <a:avLst/>
                  </a:prstGeom>
                  <a:ln/>
                </pic:spPr>
              </pic:pic>
            </a:graphicData>
          </a:graphic>
        </wp:inline>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8B3"/>
    <w:multiLevelType w:val="multilevel"/>
    <w:tmpl w:val="F468C8AE"/>
    <w:lvl w:ilvl="0">
      <w:start w:val="1"/>
      <w:numFmt w:val="bullet"/>
      <w:lvlText w:val="●"/>
      <w:lvlJc w:val="left"/>
      <w:pPr>
        <w:ind w:left="540" w:hanging="360"/>
      </w:pPr>
      <w:rPr>
        <w:rFonts w:ascii="Noto Sans Symbols" w:hAnsi="Noto Sans Symbols" w:eastAsia="Noto Sans Symbols" w:cs="Noto Sans Symbols"/>
      </w:rPr>
    </w:lvl>
    <w:lvl w:ilvl="1">
      <w:start w:val="1"/>
      <w:numFmt w:val="bullet"/>
      <w:lvlText w:val="o"/>
      <w:lvlJc w:val="left"/>
      <w:pPr>
        <w:ind w:left="1260" w:hanging="360"/>
      </w:pPr>
      <w:rPr>
        <w:rFonts w:ascii="Courier New" w:hAnsi="Courier New" w:eastAsia="Courier New" w:cs="Courier New"/>
      </w:rPr>
    </w:lvl>
    <w:lvl w:ilvl="2">
      <w:start w:val="1"/>
      <w:numFmt w:val="bullet"/>
      <w:lvlText w:val="▪"/>
      <w:lvlJc w:val="left"/>
      <w:pPr>
        <w:ind w:left="1980" w:hanging="360"/>
      </w:pPr>
      <w:rPr>
        <w:rFonts w:ascii="Noto Sans Symbols" w:hAnsi="Noto Sans Symbols" w:eastAsia="Noto Sans Symbols" w:cs="Noto Sans Symbols"/>
      </w:rPr>
    </w:lvl>
    <w:lvl w:ilvl="3">
      <w:start w:val="1"/>
      <w:numFmt w:val="bullet"/>
      <w:lvlText w:val="●"/>
      <w:lvlJc w:val="left"/>
      <w:pPr>
        <w:ind w:left="2700" w:hanging="360"/>
      </w:pPr>
      <w:rPr>
        <w:rFonts w:ascii="Noto Sans Symbols" w:hAnsi="Noto Sans Symbols" w:eastAsia="Noto Sans Symbols" w:cs="Noto Sans Symbols"/>
      </w:rPr>
    </w:lvl>
    <w:lvl w:ilvl="4">
      <w:start w:val="1"/>
      <w:numFmt w:val="bullet"/>
      <w:lvlText w:val="o"/>
      <w:lvlJc w:val="left"/>
      <w:pPr>
        <w:ind w:left="3420" w:hanging="360"/>
      </w:pPr>
      <w:rPr>
        <w:rFonts w:ascii="Courier New" w:hAnsi="Courier New" w:eastAsia="Courier New" w:cs="Courier New"/>
      </w:rPr>
    </w:lvl>
    <w:lvl w:ilvl="5">
      <w:start w:val="1"/>
      <w:numFmt w:val="bullet"/>
      <w:lvlText w:val="▪"/>
      <w:lvlJc w:val="left"/>
      <w:pPr>
        <w:ind w:left="4140" w:hanging="360"/>
      </w:pPr>
      <w:rPr>
        <w:rFonts w:ascii="Noto Sans Symbols" w:hAnsi="Noto Sans Symbols" w:eastAsia="Noto Sans Symbols" w:cs="Noto Sans Symbols"/>
      </w:rPr>
    </w:lvl>
    <w:lvl w:ilvl="6">
      <w:start w:val="1"/>
      <w:numFmt w:val="bullet"/>
      <w:lvlText w:val="●"/>
      <w:lvlJc w:val="left"/>
      <w:pPr>
        <w:ind w:left="4860" w:hanging="360"/>
      </w:pPr>
      <w:rPr>
        <w:rFonts w:ascii="Noto Sans Symbols" w:hAnsi="Noto Sans Symbols" w:eastAsia="Noto Sans Symbols" w:cs="Noto Sans Symbols"/>
      </w:rPr>
    </w:lvl>
    <w:lvl w:ilvl="7">
      <w:start w:val="1"/>
      <w:numFmt w:val="bullet"/>
      <w:lvlText w:val="o"/>
      <w:lvlJc w:val="left"/>
      <w:pPr>
        <w:ind w:left="5580" w:hanging="360"/>
      </w:pPr>
      <w:rPr>
        <w:rFonts w:ascii="Courier New" w:hAnsi="Courier New" w:eastAsia="Courier New" w:cs="Courier New"/>
      </w:rPr>
    </w:lvl>
    <w:lvl w:ilvl="8">
      <w:start w:val="1"/>
      <w:numFmt w:val="bullet"/>
      <w:lvlText w:val="▪"/>
      <w:lvlJc w:val="left"/>
      <w:pPr>
        <w:ind w:left="6300" w:hanging="360"/>
      </w:pPr>
      <w:rPr>
        <w:rFonts w:ascii="Noto Sans Symbols" w:hAnsi="Noto Sans Symbols" w:eastAsia="Noto Sans Symbols" w:cs="Noto Sans Symbols"/>
      </w:rPr>
    </w:lvl>
  </w:abstractNum>
  <w:abstractNum w:abstractNumId="1" w15:restartNumberingAfterBreak="0">
    <w:nsid w:val="34723B38"/>
    <w:multiLevelType w:val="multilevel"/>
    <w:tmpl w:val="2C2E6B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02"/>
    <w:rsid w:val="001F3FD1"/>
    <w:rsid w:val="002755A1"/>
    <w:rsid w:val="002A455E"/>
    <w:rsid w:val="00340C0E"/>
    <w:rsid w:val="003714DD"/>
    <w:rsid w:val="00382637"/>
    <w:rsid w:val="004974E4"/>
    <w:rsid w:val="004A5A41"/>
    <w:rsid w:val="00524231"/>
    <w:rsid w:val="005F7EFD"/>
    <w:rsid w:val="00626741"/>
    <w:rsid w:val="006438DE"/>
    <w:rsid w:val="0068699A"/>
    <w:rsid w:val="00884BC7"/>
    <w:rsid w:val="00A31335"/>
    <w:rsid w:val="00AB4E66"/>
    <w:rsid w:val="00B257AE"/>
    <w:rsid w:val="00B91023"/>
    <w:rsid w:val="00BD184E"/>
    <w:rsid w:val="00BE4644"/>
    <w:rsid w:val="00C0418A"/>
    <w:rsid w:val="00C10D00"/>
    <w:rsid w:val="00C50FE4"/>
    <w:rsid w:val="00DF63B7"/>
    <w:rsid w:val="00F31A02"/>
    <w:rsid w:val="1113325D"/>
    <w:rsid w:val="7061E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E280"/>
  <w15:docId w15:val="{15F359D5-2E6B-459F-907B-57A55C01B3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D210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F0D6B"/>
    <w:pPr>
      <w:ind w:left="720"/>
      <w:contextualSpacing/>
    </w:pPr>
  </w:style>
  <w:style w:type="paragraph" w:styleId="Header">
    <w:name w:val="header"/>
    <w:basedOn w:val="Normal"/>
    <w:link w:val="HeaderChar"/>
    <w:uiPriority w:val="99"/>
    <w:unhideWhenUsed/>
    <w:rsid w:val="00B313EE"/>
    <w:pPr>
      <w:tabs>
        <w:tab w:val="center" w:pos="4680"/>
        <w:tab w:val="right" w:pos="9360"/>
      </w:tabs>
    </w:pPr>
  </w:style>
  <w:style w:type="character" w:styleId="HeaderChar" w:customStyle="1">
    <w:name w:val="Header Char"/>
    <w:basedOn w:val="DefaultParagraphFont"/>
    <w:link w:val="Header"/>
    <w:uiPriority w:val="99"/>
    <w:rsid w:val="00B313EE"/>
  </w:style>
  <w:style w:type="paragraph" w:styleId="Footer">
    <w:name w:val="footer"/>
    <w:basedOn w:val="Normal"/>
    <w:link w:val="FooterChar"/>
    <w:uiPriority w:val="99"/>
    <w:unhideWhenUsed/>
    <w:rsid w:val="00B313EE"/>
    <w:pPr>
      <w:tabs>
        <w:tab w:val="center" w:pos="4680"/>
        <w:tab w:val="right" w:pos="9360"/>
      </w:tabs>
    </w:pPr>
  </w:style>
  <w:style w:type="character" w:styleId="FooterChar" w:customStyle="1">
    <w:name w:val="Footer Char"/>
    <w:basedOn w:val="DefaultParagraphFont"/>
    <w:link w:val="Footer"/>
    <w:uiPriority w:val="99"/>
    <w:rsid w:val="00B313EE"/>
  </w:style>
  <w:style w:type="character" w:styleId="CommentReference">
    <w:name w:val="annotation reference"/>
    <w:basedOn w:val="DefaultParagraphFont"/>
    <w:uiPriority w:val="99"/>
    <w:semiHidden/>
    <w:unhideWhenUsed/>
    <w:rsid w:val="00B17604"/>
    <w:rPr>
      <w:sz w:val="16"/>
      <w:szCs w:val="16"/>
    </w:rPr>
  </w:style>
  <w:style w:type="paragraph" w:styleId="CommentText">
    <w:name w:val="annotation text"/>
    <w:basedOn w:val="Normal"/>
    <w:link w:val="CommentTextChar"/>
    <w:uiPriority w:val="99"/>
    <w:semiHidden/>
    <w:unhideWhenUsed/>
    <w:rsid w:val="00B17604"/>
    <w:rPr>
      <w:sz w:val="20"/>
      <w:szCs w:val="20"/>
    </w:rPr>
  </w:style>
  <w:style w:type="character" w:styleId="CommentTextChar" w:customStyle="1">
    <w:name w:val="Comment Text Char"/>
    <w:basedOn w:val="DefaultParagraphFont"/>
    <w:link w:val="CommentText"/>
    <w:uiPriority w:val="99"/>
    <w:semiHidden/>
    <w:rsid w:val="00B17604"/>
    <w:rPr>
      <w:sz w:val="20"/>
      <w:szCs w:val="20"/>
    </w:rPr>
  </w:style>
  <w:style w:type="paragraph" w:styleId="CommentSubject">
    <w:name w:val="annotation subject"/>
    <w:basedOn w:val="CommentText"/>
    <w:next w:val="CommentText"/>
    <w:link w:val="CommentSubjectChar"/>
    <w:uiPriority w:val="99"/>
    <w:semiHidden/>
    <w:unhideWhenUsed/>
    <w:rsid w:val="00B17604"/>
    <w:rPr>
      <w:b/>
      <w:bCs/>
    </w:rPr>
  </w:style>
  <w:style w:type="character" w:styleId="CommentSubjectChar" w:customStyle="1">
    <w:name w:val="Comment Subject Char"/>
    <w:basedOn w:val="CommentTextChar"/>
    <w:link w:val="CommentSubject"/>
    <w:uiPriority w:val="99"/>
    <w:semiHidden/>
    <w:rsid w:val="00B17604"/>
    <w:rPr>
      <w:b/>
      <w:bCs/>
      <w:sz w:val="20"/>
      <w:szCs w:val="20"/>
    </w:rPr>
  </w:style>
  <w:style w:type="paragraph" w:styleId="BalloonText">
    <w:name w:val="Balloon Text"/>
    <w:basedOn w:val="Normal"/>
    <w:link w:val="BalloonTextChar"/>
    <w:uiPriority w:val="99"/>
    <w:semiHidden/>
    <w:unhideWhenUsed/>
    <w:rsid w:val="00B1760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7604"/>
    <w:rPr>
      <w:rFonts w:ascii="Segoe UI" w:hAnsi="Segoe UI" w:cs="Segoe UI"/>
      <w:sz w:val="18"/>
      <w:szCs w:val="18"/>
    </w:rPr>
  </w:style>
  <w:style w:type="paragraph" w:styleId="FootnoteText">
    <w:name w:val="footnote text"/>
    <w:basedOn w:val="Normal"/>
    <w:link w:val="FootnoteTextChar"/>
    <w:uiPriority w:val="99"/>
    <w:semiHidden/>
    <w:unhideWhenUsed/>
    <w:rsid w:val="00196A9E"/>
    <w:rPr>
      <w:sz w:val="20"/>
      <w:szCs w:val="20"/>
    </w:rPr>
  </w:style>
  <w:style w:type="character" w:styleId="FootnoteTextChar" w:customStyle="1">
    <w:name w:val="Footnote Text Char"/>
    <w:basedOn w:val="DefaultParagraphFont"/>
    <w:link w:val="FootnoteText"/>
    <w:uiPriority w:val="99"/>
    <w:semiHidden/>
    <w:rsid w:val="00196A9E"/>
    <w:rPr>
      <w:sz w:val="20"/>
      <w:szCs w:val="20"/>
    </w:rPr>
  </w:style>
  <w:style w:type="character" w:styleId="FootnoteReference">
    <w:name w:val="footnote reference"/>
    <w:basedOn w:val="DefaultParagraphFont"/>
    <w:uiPriority w:val="99"/>
    <w:semiHidden/>
    <w:unhideWhenUsed/>
    <w:rsid w:val="00196A9E"/>
    <w:rPr>
      <w:vertAlign w:val="superscript"/>
    </w:rPr>
  </w:style>
  <w:style w:type="character" w:styleId="Hyperlink">
    <w:name w:val="Hyperlink"/>
    <w:basedOn w:val="DefaultParagraphFont"/>
    <w:uiPriority w:val="99"/>
    <w:unhideWhenUsed/>
    <w:rsid w:val="00196A9E"/>
    <w:rPr>
      <w:color w:val="0563C1" w:themeColor="hyperlink"/>
      <w:u w:val="single"/>
    </w:rPr>
  </w:style>
  <w:style w:type="paragraph" w:styleId="EndnoteText">
    <w:name w:val="endnote text"/>
    <w:basedOn w:val="Normal"/>
    <w:link w:val="EndnoteTextChar"/>
    <w:uiPriority w:val="99"/>
    <w:semiHidden/>
    <w:unhideWhenUsed/>
    <w:rsid w:val="00F745EB"/>
    <w:rPr>
      <w:sz w:val="20"/>
      <w:szCs w:val="20"/>
    </w:rPr>
  </w:style>
  <w:style w:type="character" w:styleId="EndnoteTextChar" w:customStyle="1">
    <w:name w:val="Endnote Text Char"/>
    <w:basedOn w:val="DefaultParagraphFont"/>
    <w:link w:val="EndnoteText"/>
    <w:uiPriority w:val="99"/>
    <w:semiHidden/>
    <w:rsid w:val="00F745EB"/>
    <w:rPr>
      <w:sz w:val="20"/>
      <w:szCs w:val="20"/>
    </w:rPr>
  </w:style>
  <w:style w:type="character" w:styleId="EndnoteReference">
    <w:name w:val="endnote reference"/>
    <w:basedOn w:val="DefaultParagraphFont"/>
    <w:uiPriority w:val="99"/>
    <w:semiHidden/>
    <w:unhideWhenUsed/>
    <w:rsid w:val="00F745EB"/>
    <w:rPr>
      <w:vertAlign w:val="superscript"/>
    </w:rPr>
  </w:style>
  <w:style w:type="paragraph" w:styleId="Revision">
    <w:name w:val="Revision"/>
    <w:hidden/>
    <w:uiPriority w:val="99"/>
    <w:semiHidden/>
    <w:rsid w:val="00E26BB3"/>
  </w:style>
  <w:style w:type="character" w:styleId="FollowedHyperlink">
    <w:name w:val="FollowedHyperlink"/>
    <w:basedOn w:val="DefaultParagraphFont"/>
    <w:uiPriority w:val="99"/>
    <w:semiHidden/>
    <w:unhideWhenUsed/>
    <w:rsid w:val="001A48EC"/>
    <w:rPr>
      <w:color w:val="954F72" w:themeColor="followedHyperlink"/>
      <w:u w:val="singl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mtwyouth.org/" TargetMode="External" Id="rId13" /><Relationship Type="http://schemas.openxmlformats.org/officeDocument/2006/relationships/hyperlink" Target="http://www.projectrightinc.org/" TargetMode="External" Id="rId18" /><Relationship Type="http://schemas.openxmlformats.org/officeDocument/2006/relationships/hyperlink" Target="https://www.mass.gov/service-details/youth-violence-prevention-through-positive-youth-development" TargetMode="External" Id="rId26" /><Relationship Type="http://schemas.openxmlformats.org/officeDocument/2006/relationships/styles" Target="styles.xml" Id="rId3" /><Relationship Type="http://schemas.openxmlformats.org/officeDocument/2006/relationships/hyperlink" Target="https://utecinc.org/" TargetMode="External" Id="rId21" /><Relationship Type="http://schemas.openxmlformats.org/officeDocument/2006/relationships/customXml" Target="../customXml/item3.xml" Id="rId34" /><Relationship Type="http://schemas.openxmlformats.org/officeDocument/2006/relationships/endnotes" Target="endnotes.xml" Id="rId7" /><Relationship Type="http://schemas.openxmlformats.org/officeDocument/2006/relationships/hyperlink" Target="http://www.madison-park.org/" TargetMode="External" Id="rId12" /><Relationship Type="http://schemas.openxmlformats.org/officeDocument/2006/relationships/hyperlink" Target="https://www.oldcolonyymca.org/" TargetMode="External" Id="rId17" /><Relationship Type="http://schemas.openxmlformats.org/officeDocument/2006/relationships/hyperlink" Target="https://www.mass.gov/service-details/safe-spaces-for-lesbian-gay-bisexual-transgender-queerquestioning-lgbtq" TargetMode="External" Id="rId25" /><Relationship Type="http://schemas.openxmlformats.org/officeDocument/2006/relationships/customXml" Target="../customXml/item2.xml" Id="rId33" /><Relationship Type="http://schemas.openxmlformats.org/officeDocument/2006/relationships/numbering" Target="numbering.xml" Id="rId2" /><Relationship Type="http://schemas.openxmlformats.org/officeDocument/2006/relationships/hyperlink" Target="https://northstarlc.org/" TargetMode="External" Id="rId16" /><Relationship Type="http://schemas.openxmlformats.org/officeDocument/2006/relationships/hyperlink" Target="https://rocainc.org/"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gfrrec.org/" TargetMode="External" Id="rId11" /><Relationship Type="http://schemas.openxmlformats.org/officeDocument/2006/relationships/hyperlink" Target="https://www.mass.gov/child-and-youth-violence-prevention-services" TargetMode="Externa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hyperlink" Target="https://www.newnorthcc.org/" TargetMode="External" Id="rId15" /><Relationship Type="http://schemas.openxmlformats.org/officeDocument/2006/relationships/hyperlink" Target="http://www.worcesteryouthcenter.org/" TargetMode="External" Id="rId23" /><Relationship Type="http://schemas.openxmlformats.org/officeDocument/2006/relationships/hyperlink" Target="https://www.mass.gov/child-and-youth-violence-prevention-services" TargetMode="External" Id="rId28" /><Relationship Type="http://schemas.openxmlformats.org/officeDocument/2006/relationships/hyperlink" Target="http://collegebounddorchester.org/" TargetMode="External" Id="rId10" /><Relationship Type="http://schemas.openxmlformats.org/officeDocument/2006/relationships/hyperlink" Target="https://rocainc.org/"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https://18degreesma.org/" TargetMode="External" Id="rId9" /><Relationship Type="http://schemas.openxmlformats.org/officeDocument/2006/relationships/hyperlink" Target="https://mothersforjusticeandequality.org/" TargetMode="External" Id="rId14" /><Relationship Type="http://schemas.openxmlformats.org/officeDocument/2006/relationships/hyperlink" Target="https://utecinc.org/" TargetMode="External" Id="rId22" /><Relationship Type="http://schemas.openxmlformats.org/officeDocument/2006/relationships/hyperlink" Target="https://www.mass.gov/service-details/youth-violence-prevention-through-positive-youth-development" TargetMode="External" Id="rId27" /><Relationship Type="http://schemas.openxmlformats.org/officeDocument/2006/relationships/footer" Target="footer1.xml" Id="rId30" /><Relationship Type="http://schemas.openxmlformats.org/officeDocument/2006/relationships/customXml" Target="../customXml/item4.xml" Id="rId35" /><Relationship Type="http://schemas.openxmlformats.org/officeDocument/2006/relationships/hyperlink" Target="https://www.wbur.org/artery/2019/04/25/redlining-exhibit" TargetMode="External" Id="rId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7u9ioIKoLj8mq1ucFAyQDXqFcw==">AMUW2mXK+2yNOH5DdRuRgwyX+MMRHNICV06a9Ks2L2Hif5Xt2trRf83f8uKy1ZojYsT+gupI+3YTye4yQQ0eu8eFKheXpM1/4VOxek2whVBWf/c5NAFF68zcnIHWBfQa23eTM9sEqYi8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27864D7F021D945808B318A27FA505F" ma:contentTypeVersion="9" ma:contentTypeDescription="Create a new document." ma:contentTypeScope="" ma:versionID="35413aa0f28574d4ce54b3a99bee3e60">
  <xsd:schema xmlns:xsd="http://www.w3.org/2001/XMLSchema" xmlns:xs="http://www.w3.org/2001/XMLSchema" xmlns:p="http://schemas.microsoft.com/office/2006/metadata/properties" xmlns:ns2="8d97e2f2-ebdf-4348-a3ad-35e93e3eaa22" xmlns:ns3="75c8535b-2059-47c8-9277-c608aa968727" targetNamespace="http://schemas.microsoft.com/office/2006/metadata/properties" ma:root="true" ma:fieldsID="226d73d61cf026cb7fc8080bd121bea6" ns2:_="" ns3:_="">
    <xsd:import namespace="8d97e2f2-ebdf-4348-a3ad-35e93e3eaa22"/>
    <xsd:import namespace="75c8535b-2059-47c8-9277-c608aa9687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7e2f2-ebdf-4348-a3ad-35e93e3ea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8535b-2059-47c8-9277-c608aa9687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E7BE9A-3B80-4B07-AB6E-3B0DBC2659C8}"/>
</file>

<file path=customXml/itemProps3.xml><?xml version="1.0" encoding="utf-8"?>
<ds:datastoreItem xmlns:ds="http://schemas.openxmlformats.org/officeDocument/2006/customXml" ds:itemID="{0F263D57-28D7-436B-8E42-8E0C784A883F}"/>
</file>

<file path=customXml/itemProps4.xml><?xml version="1.0" encoding="utf-8"?>
<ds:datastoreItem xmlns:ds="http://schemas.openxmlformats.org/officeDocument/2006/customXml" ds:itemID="{EC912B63-5072-4A40-B890-241F5D6101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JSI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Daniel Seaton</dc:creator>
  <lastModifiedBy>Estivaliz Castro</lastModifiedBy>
  <revision>3</revision>
  <dcterms:created xsi:type="dcterms:W3CDTF">2020-05-07T12:59:00.0000000Z</dcterms:created>
  <dcterms:modified xsi:type="dcterms:W3CDTF">2020-05-07T13:01:18.6402627Z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0x010100527864D7F021D945808B318A27FA505F</vt:lpwstr>
  </property>
</Properties>
</file>